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Мамутов В.К.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академик НАН Украины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«Теневики» не дремлют...*)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ЭКОНОМИКА В ОПАСНОСТИ!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Что и говорить, криминал и "тень" стали как бы характерной чертой нашей экономики. Одной из мер, направленных на ее оздоровление, стало принятие в 2003 г. Хозяйственного кодекса Украины (далее - ХК).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Такой шаг должен был способствовать обеспечению разумного сочетания государственного регулирования и рыночной саморегуляции, предотвращению злоупотреблений и беспорядка в народном хозяйстве. Однако это сразу не понравилось тем, кто уже привык, не считаясь с общественными интересами, делать все, что захочется. Без каких-либо законодательных рамок. Начались козни против ХК, к этим действиям стали привлекать иностранных "советников". Поговаривали даже об отмене ХК, не указывая, однако, какие его правила мешают честному предпринимательству. Но публикации в печати, научные конференции доказали неприемлемость таких поступков. Она несли угрозу экономической безопасности государства.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Тогда не удалось торпедировать ХК полностью. Однако желание сделать это не пропало. Враги Хозяйственного кодекса решили "откусывать" от него и связанных с ним законов куски. В результате стало понятно, что же не нравится оппонентам в ХК и о чем они не хотят говорить прямо.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Как это делается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В феврале 2005 года, обойдя некоторые требования регламента Верховной Рады и Закона "О принципах государственной регуляторной политики в сфере хозяйственной деятельности", через ВР протянули невинное, на первый взгляд, изменение – исключили филиалы и обособленные структурные подразделения из закрепленного в одной из статей ХК перечня субъектов хозяйствования. Это дало возможность, во-первых, проводить ряд теневых операций через незарегистрированные на месте их деятельности филиалы и обособленные подразделения (они значатся в документах только по месту регистрации управляющей структуры, обладающей правами юридического лица). А во-вторых, ведя консолидированный, общий учет по фирме в целом, не показывать в полном объеме прибыль рентабельных филиалов, "съедая" ее убытками нерентабельных. Если учесть, что в стране существует около шестидесяти тысяч филиалов и обособленных подразделений, то можно предположить: объем тенизации и сокрытия от налогообложения доходов настолько велик, что кое-кому захотелось протащить подобные лазейки в законы. Именно протащить, ибо при принятии закона был нарушен порядок рассмотрения, и на подпись президенту документ почему-то попал в рекордно короткий срок. На появившиеся затем в печати возражения против "поправки о филиалах" никакой реакции не было.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Ну а 27 апреля 2007 года дело покатилось уже по накатанной колее. В Украине приняли Закон о внесении изменений в законодательные акты в связи со вступлением в силу Гражданского кодекса. Закон этот насчитывает более двух десятков пространных статей, он по объему, как брошюра. В столь "пухлом" тексте, где народные депутаты едва ли могли глубоко разобраться, вставлена строка об отмене Закона "О собственности" – одного из основополагающих законов, основанных на Декларации о государственном суверенитете Украины. При этом отменяются не отдельные его статьи, пересекающиеся со статьями Гражданского кодекса, а и весь закон целиком!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Ни в массовой, ни в научной печати не было обоснования необходимости и последствий отмены этого закона. Наоборот, предлагалось повысить его статус до Конституционного. Не обсуждался этот вопрос и на сессии Верховной Рады. И опять протащили отмену "тихой сапой": якобы необходимы изменения в связи с принятием Гражданского кодекса. Но Гражданский кодекс основан на концепции частного права, а Закон о собственности – закон публичного права, в котором речь идет о национальном богатстве, о собственности народа, о собственности государственной, коммунальной и коллективной, а не только индивидуальной. Отмена Закона "О собственности" может использоваться для передачи в частные руки одного или группы граждан (и даже иностранцев) того, что было признано коллективной собственностью, то есть чтобы обойти положения Конституции и Хозяйственного кодекса Украины о равенстве всех форм собственности и охране их государством.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Хитрый лизинг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Чуть позже принимается еще один закон о якобы редакционных поправках к нескольким законодательным актам, касающимся лизинга. На самом деле массой предложенного текста, как это уже не раз бывало, закамуфлирована главная цель проекта – дать лазейку к переходу в частную собственность объектов государственной и коммунальной собственности в обход законов о приватизации, о земле и природных ресурсах.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Без каких-либо обоснований исключается ст. 292 Хозяйственного кодекса, пункт 5 которой подчеркивал, что не могут быть объектом лизинга земельные участки, другие природные объекты, а также целостные имущественные комплексы государственных (коммунальных) предприятий, их структурных подразделений. Вносится и дополнение в Гражданский кодекс, которым любому физическому лицу разрешается быть стороной в любом лизинговом договоре, хотя лизинговые договоры являются хозяйственными инвестиционными моментами и заключаются предпринимательскими структурами. При этом, на всякий случай, еще и подчеркивается (предложено новой статьей 8071), что предмет договора лизинга по окончании срока договора может перейти в собственность того, кто внесет соответствующие платежи. Таким образом можно заполучить государственные и коммунальные предприятия в собственность через лизинг, в обход законов о порядке приватизации, а земельные участки – в обход законов о земле.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Кому это на руку?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Судя по стенограмме сессии ВР, при рассмотрении законопроекта никто эти изменения и последствия их принятия не обсуждал. А они весьма существенны. Было проигнорировано также обоснованное заключение по этому законопроекту Главного научно-экспертного управления Верховной Рады и одного из выступавших народных депутатов о том, что вопросы регулирования лизинга надо рассматривать в контексте положений Хозяйственного, а не Гражданского кодекса. Проигнорировано, несмотря на то, что в заключении была подчеркнута целесообразность сосредоточения норм о лизинге именно в Хозяйственном кодексе. Высший хозяйственный суд Украины, ряд ученых и практиков высказывали аналогичное предложение еще в 2003 г. За три года его так и не удосужились рассмотреть, а вот исключение ст. 292 ХК организовали весьма оперативно. Нашли для этого время даже в весьма непростой ситуации "полураспада" власти. Стало быть, кто-то очень этого добивался. Кто конкретно? Скорей всего, тот (или те), кому сильно мешают ограничения "прихвати киши". Не пора ли власть имущим перестать мутить воду и дать возможность соответствующим комитетам Верховной Рады организовывать расследование этих и других случаев внесения в законы без всестороннего анализа скоропалительных изменений, чреватых серьезными негативными последствиями? Почему это делается без предварительного обсуждения научной общественностью?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Вместо эпилога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Странная создалась в стране ситуация: одни законы годами маринуются, а сомнительного рода поправки проводятся "бегом". Такая практика не способствует авторитет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у власти. Изобретатели схем обхода законов не дремлют. Кто-то их стимулирует, а кто-то в государственном аппарате помогает протаскивать дурно пахнущие "схемы". И при этом ни изобретатель схемы, ни тот, кто ее протащил, ответственности не несут. При такой практике, дополняемой в последнее время неединичными прямыми нарушениями Конституции, правового государства не создать. Надо от нее отказаться, жестко соблюдать требования закона "Об основных началах государственной регулятивной политики в сфере хозяйственной деятельности" и регламента Верховной Рады об обязательности экономического обоснования законопроектов и прогноза последствий их принятия. Необходимо соблюдать и требования об обязательном предварительном обсуждении законопроектов общественностью. Законы должны быть тщательно отшлифованной "продукцией индивидуального изготовления", а не выпускаться по технологии массового и не совсем чистого производства.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 </w:t>
      </w:r>
      <w:r>
        <w:rPr>
          <w:rFonts w:ascii="Times New Roman" w:cs="Times New Roman" w:hAnsi="Times New Roman"/>
          <w:sz w:val="28"/>
          <w:szCs w:val="28"/>
        </w:rPr>
        <w:t>*) Статья опубликована в ежедневной всеукраинской газете "Рабочая газета" №147 (14090) от 4 октября 2007 г.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P.S. Отмеченная в статье тактика внесения поправок в Хозяйственный кодекс в целях создания лазеек для обхода законодательства о порядке приватизации государственной и коммунальной собственности не исчерпывается фактами, приведенными в статье.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Верховной Радой рассмотрен, например, в первом чтении законопроект № 2637, предусматривающий изменение пункта 4 статьи 289 ХК «Выкуп (приватизация) объектов аренды», который гласит «Приватизация целостных имущественных комплексов, переданных в аренду, осуществляется в случаях и порядке, предусмотренных законом». Предложенное же изменение «сводится» к тому, чтобы вместо «законом» написать «договором». Народным депутатам это изменение преподносится как незначительная невинная поправка. На самом же деле речь снова идет об обходе законов о порядке приватизации. Склонить кого-либо к заключению нужного «прихватизатору» договора в нынешних условиях не очень сложно. Серьезного обсуждения этой «поправки» не было, а лоббируют ее, видимо, те же, кто провел исключение ст. 292 ХК - цель та же.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right"/>
      </w:pPr>
      <w:r>
        <w:rPr>
          <w:rFonts w:ascii="Times New Roman" w:cs="Times New Roman" w:hAnsi="Times New Roman"/>
          <w:sz w:val="28"/>
          <w:szCs w:val="28"/>
        </w:rPr>
        <w:t>Валентин МАМУТОВ,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8"/>
          <w:szCs w:val="28"/>
        </w:rPr>
        <w:t>академик Национальной академии наук Украины.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1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Arial Unicode M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2016-03-21T18:39:00.00Z</dcterms:created>
  <dc:creator>PC</dc:creator>
  <cp:lastModifiedBy>PC</cp:lastModifiedBy>
  <dcterms:modified xsi:type="dcterms:W3CDTF">2016-03-21T18:43:00.00Z</dcterms:modified>
  <cp:revision>11</cp:revision>
</cp:coreProperties>
</file>